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D2A" w:rsidRDefault="00F21D2A" w:rsidP="00F21D2A"/>
    <w:p w:rsidR="00F21D2A" w:rsidRPr="00DF6D29" w:rsidRDefault="00F21D2A" w:rsidP="00F21D2A">
      <w:pPr>
        <w:pStyle w:val="Heading1"/>
        <w:ind w:left="0"/>
        <w:rPr>
          <w:color w:val="C00000"/>
        </w:rPr>
      </w:pPr>
      <w:r w:rsidRPr="00DF6D29">
        <w:rPr>
          <w:noProof/>
          <w:color w:val="C00000"/>
        </w:rPr>
        <mc:AlternateContent>
          <mc:Choice Requires="wps">
            <w:drawing>
              <wp:anchor distT="0" distB="0" distL="114300" distR="114300" simplePos="0" relativeHeight="251659264" behindDoc="0" locked="0" layoutInCell="1" allowOverlap="0" wp14:anchorId="5695D3DF" wp14:editId="4CEDF597">
                <wp:simplePos x="0" y="0"/>
                <mc:AlternateContent>
                  <mc:Choice Requires="wp14">
                    <wp:positionH relativeFrom="page">
                      <wp14:pctPosHOffset>66900</wp14:pctPosHOffset>
                    </wp:positionH>
                  </mc:Choice>
                  <mc:Fallback>
                    <wp:positionH relativeFrom="page">
                      <wp:posOffset>5199380</wp:posOffset>
                    </wp:positionH>
                  </mc:Fallback>
                </mc:AlternateContent>
                <wp:positionV relativeFrom="margin">
                  <wp:align>top</wp:align>
                </wp:positionV>
                <wp:extent cx="3067050" cy="3581400"/>
                <wp:effectExtent l="0" t="0" r="5715" b="11430"/>
                <wp:wrapSquare wrapText="left"/>
                <wp:docPr id="3" name="Text Box 3" descr="Newsletter sidebar 2"/>
                <wp:cNvGraphicFramePr/>
                <a:graphic xmlns:a="http://schemas.openxmlformats.org/drawingml/2006/main">
                  <a:graphicData uri="http://schemas.microsoft.com/office/word/2010/wordprocessingShape">
                    <wps:wsp>
                      <wps:cNvSpPr txBox="1"/>
                      <wps:spPr>
                        <a:xfrm>
                          <a:off x="0" y="0"/>
                          <a:ext cx="3067050" cy="358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21D2A" w:rsidRDefault="00F21D2A" w:rsidP="00F21D2A">
                            <w:pPr>
                              <w:pStyle w:val="Photo"/>
                            </w:pPr>
                            <w:r>
                              <w:rPr>
                                <w:noProof/>
                              </w:rPr>
                              <w:drawing>
                                <wp:inline distT="0" distB="0" distL="0" distR="0" wp14:anchorId="4438B2B3" wp14:editId="4E2C4B40">
                                  <wp:extent cx="2174240" cy="154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39612[1].PNG"/>
                                          <pic:cNvPicPr/>
                                        </pic:nvPicPr>
                                        <pic:blipFill>
                                          <a:blip r:embed="rId5">
                                            <a:extLst>
                                              <a:ext uri="{28A0092B-C50C-407E-A947-70E740481C1C}">
                                                <a14:useLocalDpi xmlns:a14="http://schemas.microsoft.com/office/drawing/2010/main" val="0"/>
                                              </a:ext>
                                            </a:extLst>
                                          </a:blip>
                                          <a:stretch>
                                            <a:fillRect/>
                                          </a:stretch>
                                        </pic:blipFill>
                                        <pic:spPr>
                                          <a:xfrm>
                                            <a:off x="0" y="0"/>
                                            <a:ext cx="2174240" cy="1546225"/>
                                          </a:xfrm>
                                          <a:prstGeom prst="rect">
                                            <a:avLst/>
                                          </a:prstGeom>
                                        </pic:spPr>
                                      </pic:pic>
                                    </a:graphicData>
                                  </a:graphic>
                                </wp:inline>
                              </w:drawing>
                            </w:r>
                          </w:p>
                          <w:tbl>
                            <w:tblPr>
                              <w:tblStyle w:val="NewsletterTable"/>
                              <w:tblW w:w="5000" w:type="pct"/>
                              <w:jc w:val="center"/>
                              <w:tblLook w:val="04A0" w:firstRow="1" w:lastRow="0" w:firstColumn="1" w:lastColumn="0" w:noHBand="0" w:noVBand="1"/>
                              <w:tblDescription w:val="Callout table"/>
                            </w:tblPr>
                            <w:tblGrid>
                              <w:gridCol w:w="4404"/>
                            </w:tblGrid>
                            <w:tr w:rsidR="00F21D2A"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rsidR="00F21D2A" w:rsidRDefault="00F21D2A">
                                  <w:pPr>
                                    <w:pStyle w:val="TableSpace"/>
                                  </w:pPr>
                                </w:p>
                              </w:tc>
                            </w:tr>
                            <w:tr w:rsidR="00F21D2A" w:rsidTr="005D5BF5">
                              <w:trPr>
                                <w:trHeight w:val="9576"/>
                                <w:jc w:val="center"/>
                              </w:trPr>
                              <w:tc>
                                <w:tcPr>
                                  <w:tcW w:w="3439" w:type="dxa"/>
                                  <w:tcBorders>
                                    <w:top w:val="nil"/>
                                    <w:bottom w:val="nil"/>
                                  </w:tcBorders>
                                </w:tcPr>
                                <w:p w:rsidR="00F21D2A" w:rsidRDefault="00F21D2A" w:rsidP="00C958DE">
                                  <w:r>
                                    <w:rPr>
                                      <w:rFonts w:ascii="Arial" w:hAnsi="Arial" w:cs="Arial"/>
                                      <w:b/>
                                      <w:bCs/>
                                      <w:noProof/>
                                      <w:color w:val="717171"/>
                                      <w:sz w:val="17"/>
                                      <w:szCs w:val="17"/>
                                    </w:rPr>
                                    <w:t>pp</w:t>
                                  </w:r>
                                  <w:r>
                                    <w:rPr>
                                      <w:rFonts w:ascii="Arial" w:hAnsi="Arial" w:cs="Arial"/>
                                      <w:b/>
                                      <w:bCs/>
                                      <w:noProof/>
                                      <w:color w:val="717171"/>
                                      <w:sz w:val="17"/>
                                      <w:szCs w:val="17"/>
                                    </w:rPr>
                                    <w:drawing>
                                      <wp:inline distT="0" distB="0" distL="0" distR="0" wp14:anchorId="144FC85E" wp14:editId="53C68A20">
                                        <wp:extent cx="2614156" cy="3305175"/>
                                        <wp:effectExtent l="0" t="0" r="0" b="0"/>
                                        <wp:docPr id="7" name="Picture 7" descr="Teacher carto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cher carto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8896" cy="3349098"/>
                                                </a:xfrm>
                                                <a:prstGeom prst="rect">
                                                  <a:avLst/>
                                                </a:prstGeom>
                                                <a:noFill/>
                                                <a:ln>
                                                  <a:noFill/>
                                                </a:ln>
                                              </pic:spPr>
                                            </pic:pic>
                                          </a:graphicData>
                                        </a:graphic>
                                      </wp:inline>
                                    </w:drawing>
                                  </w:r>
                                </w:p>
                              </w:tc>
                            </w:tr>
                          </w:tbl>
                          <w:p w:rsidR="00F21D2A" w:rsidRDefault="00F21D2A" w:rsidP="00F21D2A">
                            <w:pPr>
                              <w:pStyle w:val="NoSpacing"/>
                            </w:pPr>
                          </w:p>
                        </w:txbxContent>
                      </wps:txbx>
                      <wps:bodyPr rot="0" spcFirstLastPara="0" vertOverflow="overflow" horzOverflow="overflow" vert="horz" wrap="square" lIns="18288" tIns="0" rIns="18288" bIns="0" numCol="1" spcCol="0" rtlCol="0" fromWordArt="0" anchor="t" anchorCtr="0" forceAA="0" compatLnSpc="1">
                        <a:prstTxWarp prst="textNoShape">
                          <a:avLst/>
                        </a:prstTxWarp>
                        <a:noAutofit/>
                      </wps:bodyPr>
                    </wps:wsp>
                  </a:graphicData>
                </a:graphic>
                <wp14:sizeRelH relativeFrom="page">
                  <wp14:pctWidth>28600</wp14:pctWidth>
                </wp14:sizeRelH>
                <wp14:sizeRelV relativeFrom="page">
                  <wp14:pctHeight>83600</wp14:pctHeight>
                </wp14:sizeRelV>
              </wp:anchor>
            </w:drawing>
          </mc:Choice>
          <mc:Fallback>
            <w:pict>
              <v:shapetype w14:anchorId="5695D3DF" id="_x0000_t202" coordsize="21600,21600" o:spt="202" path="m,l,21600r21600,l21600,xe">
                <v:stroke joinstyle="miter"/>
                <v:path gradientshapeok="t" o:connecttype="rect"/>
              </v:shapetype>
              <v:shape id="Text Box 3" o:spid="_x0000_s1026" type="#_x0000_t202" alt="Newsletter sidebar 2" style="position:absolute;margin-left:0;margin-top:0;width:241.5pt;height:282pt;z-index:251659264;visibility:visible;mso-wrap-style:square;mso-width-percent:286;mso-height-percent:836;mso-left-percent:669;mso-wrap-distance-left:9pt;mso-wrap-distance-top:0;mso-wrap-distance-right:9pt;mso-wrap-distance-bottom:0;mso-position-horizontal-relative:page;mso-position-vertical:top;mso-position-vertical-relative:margin;mso-width-percent:286;mso-height-percent:836;mso-left-percent:669;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" o:allowoverlap="f" filled="f" stroked="f" strokeweight=".5pt">
                <v:textbox inset="1.44pt,0,1.44pt,0">
                  <w:txbxContent>
                    <w:p w:rsidR="00F21D2A" w:rsidRDefault="00F21D2A" w:rsidP="00F21D2A">
                      <w:pPr>
                        <w:pStyle w:val="Photo"/>
                      </w:pPr>
                      <w:r>
                        <w:rPr>
                          <w:noProof/>
                        </w:rPr>
                        <w:drawing>
                          <wp:inline distT="0" distB="0" distL="0" distR="0" wp14:anchorId="4438B2B3" wp14:editId="4E2C4B40">
                            <wp:extent cx="2174240" cy="1546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39612[1].PNG"/>
                                    <pic:cNvPicPr/>
                                  </pic:nvPicPr>
                                  <pic:blipFill>
                                    <a:blip r:embed="rId5">
                                      <a:extLst>
                                        <a:ext uri="{28A0092B-C50C-407E-A947-70E740481C1C}">
                                          <a14:useLocalDpi xmlns:a14="http://schemas.microsoft.com/office/drawing/2010/main" val="0"/>
                                        </a:ext>
                                      </a:extLst>
                                    </a:blip>
                                    <a:stretch>
                                      <a:fillRect/>
                                    </a:stretch>
                                  </pic:blipFill>
                                  <pic:spPr>
                                    <a:xfrm>
                                      <a:off x="0" y="0"/>
                                      <a:ext cx="2174240" cy="1546225"/>
                                    </a:xfrm>
                                    <a:prstGeom prst="rect">
                                      <a:avLst/>
                                    </a:prstGeom>
                                  </pic:spPr>
                                </pic:pic>
                              </a:graphicData>
                            </a:graphic>
                          </wp:inline>
                        </w:drawing>
                      </w:r>
                    </w:p>
                    <w:tbl>
                      <w:tblPr>
                        <w:tblStyle w:val="NewsletterTable"/>
                        <w:tblW w:w="5000" w:type="pct"/>
                        <w:jc w:val="center"/>
                        <w:tblLook w:val="04A0" w:firstRow="1" w:lastRow="0" w:firstColumn="1" w:lastColumn="0" w:noHBand="0" w:noVBand="1"/>
                        <w:tblDescription w:val="Callout table"/>
                      </w:tblPr>
                      <w:tblGrid>
                        <w:gridCol w:w="4404"/>
                      </w:tblGrid>
                      <w:tr w:rsidR="00F21D2A" w:rsidTr="005D5BF5">
                        <w:trPr>
                          <w:cnfStyle w:val="100000000000" w:firstRow="1" w:lastRow="0" w:firstColumn="0" w:lastColumn="0" w:oddVBand="0" w:evenVBand="0" w:oddHBand="0" w:evenHBand="0" w:firstRowFirstColumn="0" w:firstRowLastColumn="0" w:lastRowFirstColumn="0" w:lastRowLastColumn="0"/>
                          <w:jc w:val="center"/>
                        </w:trPr>
                        <w:tc>
                          <w:tcPr>
                            <w:tcW w:w="3439" w:type="dxa"/>
                            <w:tcBorders>
                              <w:bottom w:val="nil"/>
                            </w:tcBorders>
                          </w:tcPr>
                          <w:p w:rsidR="00F21D2A" w:rsidRDefault="00F21D2A">
                            <w:pPr>
                              <w:pStyle w:val="TableSpace"/>
                            </w:pPr>
                          </w:p>
                        </w:tc>
                      </w:tr>
                      <w:tr w:rsidR="00F21D2A" w:rsidTr="005D5BF5">
                        <w:trPr>
                          <w:trHeight w:val="9576"/>
                          <w:jc w:val="center"/>
                        </w:trPr>
                        <w:tc>
                          <w:tcPr>
                            <w:tcW w:w="3439" w:type="dxa"/>
                            <w:tcBorders>
                              <w:top w:val="nil"/>
                              <w:bottom w:val="nil"/>
                            </w:tcBorders>
                          </w:tcPr>
                          <w:p w:rsidR="00F21D2A" w:rsidRDefault="00F21D2A" w:rsidP="00C958DE">
                            <w:r>
                              <w:rPr>
                                <w:rFonts w:ascii="Arial" w:hAnsi="Arial" w:cs="Arial"/>
                                <w:b/>
                                <w:bCs/>
                                <w:noProof/>
                                <w:color w:val="717171"/>
                                <w:sz w:val="17"/>
                                <w:szCs w:val="17"/>
                              </w:rPr>
                              <w:t>pp</w:t>
                            </w:r>
                            <w:r>
                              <w:rPr>
                                <w:rFonts w:ascii="Arial" w:hAnsi="Arial" w:cs="Arial"/>
                                <w:b/>
                                <w:bCs/>
                                <w:noProof/>
                                <w:color w:val="717171"/>
                                <w:sz w:val="17"/>
                                <w:szCs w:val="17"/>
                              </w:rPr>
                              <w:drawing>
                                <wp:inline distT="0" distB="0" distL="0" distR="0" wp14:anchorId="144FC85E" wp14:editId="53C68A20">
                                  <wp:extent cx="2614156" cy="3305175"/>
                                  <wp:effectExtent l="0" t="0" r="0" b="0"/>
                                  <wp:docPr id="7" name="Picture 7" descr="Teacher cartoo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cher cartoo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8896" cy="3349098"/>
                                          </a:xfrm>
                                          <a:prstGeom prst="rect">
                                            <a:avLst/>
                                          </a:prstGeom>
                                          <a:noFill/>
                                          <a:ln>
                                            <a:noFill/>
                                          </a:ln>
                                        </pic:spPr>
                                      </pic:pic>
                                    </a:graphicData>
                                  </a:graphic>
                                </wp:inline>
                              </w:drawing>
                            </w:r>
                          </w:p>
                        </w:tc>
                      </w:tr>
                    </w:tbl>
                    <w:p w:rsidR="00F21D2A" w:rsidRDefault="00F21D2A" w:rsidP="00F21D2A">
                      <w:pPr>
                        <w:pStyle w:val="NoSpacing"/>
                      </w:pPr>
                    </w:p>
                  </w:txbxContent>
                </v:textbox>
                <w10:wrap type="square" side="left" anchorx="page" anchory="margin"/>
              </v:shape>
            </w:pict>
          </mc:Fallback>
        </mc:AlternateContent>
      </w:r>
      <w:r w:rsidRPr="00DF6D29">
        <w:rPr>
          <w:color w:val="C00000"/>
        </w:rPr>
        <w:t>Instructional Strategy to Promote a Culture for Learning</w:t>
      </w:r>
    </w:p>
    <w:p w:rsidR="00F21D2A" w:rsidRDefault="00F21D2A" w:rsidP="00F21D2A">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“Save the Last Word for Me” is a discussion strategy that requires all students to participate as active speakers and listeners. The clearly defined structure helps shy students share their ideas and ensures that frequent speakers practice being quiet. It is often used as a way to help students debrief a reading or film.</w:t>
      </w:r>
    </w:p>
    <w:p w:rsidR="00F21D2A" w:rsidRDefault="00F21D2A" w:rsidP="00F21D2A">
      <w:pPr>
        <w:shd w:val="clear" w:color="auto" w:fill="FFFFFF"/>
        <w:spacing w:line="480" w:lineRule="atLeast"/>
        <w:rPr>
          <w:rFonts w:ascii="Verdana" w:hAnsi="Verdana"/>
          <w:color w:val="383737"/>
          <w:sz w:val="26"/>
          <w:szCs w:val="26"/>
          <w:lang w:val="en"/>
        </w:rPr>
      </w:pPr>
      <w:r>
        <w:rPr>
          <w:rFonts w:ascii="Verdana" w:hAnsi="Verdana"/>
          <w:color w:val="383737"/>
          <w:sz w:val="26"/>
          <w:szCs w:val="26"/>
          <w:lang w:val="en"/>
        </w:rPr>
        <w:t xml:space="preserve">Procedure: </w:t>
      </w:r>
    </w:p>
    <w:p w:rsidR="00F21D2A" w:rsidRDefault="00F21D2A" w:rsidP="00F21D2A">
      <w:pPr>
        <w:pStyle w:val="NormalWeb"/>
        <w:shd w:val="clear" w:color="auto" w:fill="FFFFFF"/>
        <w:spacing w:line="432" w:lineRule="atLeast"/>
        <w:rPr>
          <w:rFonts w:ascii="Verdana" w:hAnsi="Verdana"/>
          <w:color w:val="000000"/>
          <w:sz w:val="17"/>
          <w:szCs w:val="17"/>
          <w:lang w:val="en"/>
        </w:rPr>
      </w:pPr>
      <w:r>
        <w:rPr>
          <w:rStyle w:val="Strong"/>
          <w:rFonts w:ascii="Verdana" w:hAnsi="Verdana"/>
          <w:color w:val="000000"/>
          <w:sz w:val="17"/>
          <w:szCs w:val="17"/>
          <w:lang w:val="en"/>
        </w:rPr>
        <w:t>Step one: Preparation</w:t>
      </w:r>
    </w:p>
    <w:p w:rsidR="00F21D2A" w:rsidRDefault="00F21D2A" w:rsidP="00F21D2A">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Identify a reading or video excerpt that will serve as the catalyst for this activity.</w:t>
      </w:r>
    </w:p>
    <w:p w:rsidR="00F21D2A" w:rsidRDefault="00F21D2A" w:rsidP="00F21D2A">
      <w:pPr>
        <w:pStyle w:val="NormalWeb"/>
        <w:shd w:val="clear" w:color="auto" w:fill="FFFFFF"/>
        <w:spacing w:line="432" w:lineRule="atLeast"/>
        <w:rPr>
          <w:rFonts w:ascii="Verdana" w:hAnsi="Verdana"/>
          <w:color w:val="000000"/>
          <w:sz w:val="17"/>
          <w:szCs w:val="17"/>
          <w:lang w:val="en"/>
        </w:rPr>
      </w:pPr>
      <w:r>
        <w:rPr>
          <w:rStyle w:val="Strong"/>
          <w:rFonts w:ascii="Verdana" w:hAnsi="Verdana"/>
          <w:color w:val="000000"/>
          <w:sz w:val="17"/>
          <w:szCs w:val="17"/>
          <w:lang w:val="en"/>
        </w:rPr>
        <w:t>Step two: Students read and respond to text</w:t>
      </w:r>
    </w:p>
    <w:p w:rsidR="00F21D2A" w:rsidRDefault="00F21D2A" w:rsidP="00F21D2A">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 xml:space="preserve">Have students read or view the selected text. Ask students to highlight three sentences that particularly stood out for them and write each sentence on the front of an index card. On the back they should write a few sentences explaining why they chose that quote - what it meant to them, reminded them of, etc. They may have connected it to something that happened to them in their own lives, to a film or book they saw or read, or to something that happened in history or is happening in current events. </w:t>
      </w:r>
      <w:r>
        <w:rPr>
          <w:rFonts w:ascii="Verdana" w:hAnsi="Verdana"/>
          <w:color w:val="000000"/>
          <w:sz w:val="17"/>
          <w:szCs w:val="17"/>
          <w:lang w:val="en"/>
        </w:rPr>
        <w:br/>
      </w:r>
      <w:r>
        <w:rPr>
          <w:rFonts w:ascii="Verdana" w:hAnsi="Verdana"/>
          <w:color w:val="000000"/>
          <w:sz w:val="17"/>
          <w:szCs w:val="17"/>
          <w:lang w:val="en"/>
        </w:rPr>
        <w:br/>
      </w:r>
      <w:r>
        <w:rPr>
          <w:rStyle w:val="Strong"/>
          <w:rFonts w:ascii="Verdana" w:hAnsi="Verdana"/>
          <w:color w:val="000000"/>
          <w:sz w:val="17"/>
          <w:szCs w:val="17"/>
          <w:lang w:val="en"/>
        </w:rPr>
        <w:t>Step three:</w:t>
      </w:r>
      <w:r>
        <w:rPr>
          <w:rFonts w:ascii="Verdana" w:hAnsi="Verdana"/>
          <w:color w:val="000000"/>
          <w:sz w:val="17"/>
          <w:szCs w:val="17"/>
          <w:lang w:val="en"/>
        </w:rPr>
        <w:t xml:space="preserve"> </w:t>
      </w:r>
      <w:r>
        <w:rPr>
          <w:rStyle w:val="Strong"/>
          <w:rFonts w:ascii="Verdana" w:hAnsi="Verdana"/>
          <w:color w:val="000000"/>
          <w:sz w:val="17"/>
          <w:szCs w:val="17"/>
          <w:lang w:val="en"/>
        </w:rPr>
        <w:t>Sharing in small groups</w:t>
      </w:r>
    </w:p>
    <w:p w:rsidR="00F21D2A" w:rsidRDefault="00F21D2A" w:rsidP="00F21D2A">
      <w:pPr>
        <w:pStyle w:val="NormalWeb"/>
        <w:shd w:val="clear" w:color="auto" w:fill="FFFFFF"/>
        <w:spacing w:line="432" w:lineRule="atLeast"/>
        <w:rPr>
          <w:rFonts w:ascii="Verdana" w:hAnsi="Verdana"/>
          <w:color w:val="000000"/>
          <w:sz w:val="17"/>
          <w:szCs w:val="17"/>
          <w:lang w:val="en"/>
        </w:rPr>
      </w:pPr>
      <w:r>
        <w:rPr>
          <w:rFonts w:ascii="Verdana" w:hAnsi="Verdana"/>
          <w:color w:val="000000"/>
          <w:sz w:val="17"/>
          <w:szCs w:val="17"/>
          <w:lang w:val="en"/>
        </w:rPr>
        <w:t>Divide the students into groups of three, labeling one student A, one B, and the other C. Invite “</w:t>
      </w:r>
      <w:proofErr w:type="gramStart"/>
      <w:r>
        <w:rPr>
          <w:rFonts w:ascii="Verdana" w:hAnsi="Verdana"/>
          <w:color w:val="000000"/>
          <w:sz w:val="17"/>
          <w:szCs w:val="17"/>
          <w:lang w:val="en"/>
        </w:rPr>
        <w:t>A”</w:t>
      </w:r>
      <w:proofErr w:type="gramEnd"/>
      <w:r>
        <w:rPr>
          <w:rFonts w:ascii="Verdana" w:hAnsi="Verdana"/>
          <w:color w:val="000000"/>
          <w:sz w:val="17"/>
          <w:szCs w:val="17"/>
          <w:lang w:val="en"/>
        </w:rPr>
        <w:t xml:space="preserve">s to read one of their chosen quotations. Then </w:t>
      </w:r>
      <w:r>
        <w:rPr>
          <w:rFonts w:ascii="Verdana" w:hAnsi="Verdana"/>
          <w:color w:val="000000"/>
          <w:sz w:val="17"/>
          <w:szCs w:val="17"/>
          <w:lang w:val="en"/>
        </w:rPr>
        <w:lastRenderedPageBreak/>
        <w:t>students B and C discuss the quotation. What do they think it means? Why do they think these words might be important? To whom? After several minutes, ask the A students to read the back of their cards (or to explain why they picked the quotation), thus having “the last word.” This process continues with the B student sharing and then student C. This is actually an acceptable use of triads, since only two are discussing or sharing at a time.</w:t>
      </w:r>
    </w:p>
    <w:p w:rsidR="00F21D2A" w:rsidRDefault="00F21D2A" w:rsidP="00F21D2A">
      <w:pPr>
        <w:shd w:val="clear" w:color="auto" w:fill="FFFFFF"/>
        <w:spacing w:line="480" w:lineRule="atLeast"/>
        <w:rPr>
          <w:rFonts w:ascii="Verdana" w:hAnsi="Verdana"/>
          <w:color w:val="383737"/>
          <w:sz w:val="26"/>
          <w:szCs w:val="26"/>
          <w:lang w:val="en"/>
        </w:rPr>
      </w:pPr>
      <w:r>
        <w:rPr>
          <w:rFonts w:ascii="Verdana" w:hAnsi="Verdana"/>
          <w:color w:val="383737"/>
          <w:sz w:val="26"/>
          <w:szCs w:val="26"/>
          <w:lang w:val="en"/>
        </w:rPr>
        <w:t xml:space="preserve">Variations: </w:t>
      </w:r>
    </w:p>
    <w:p w:rsidR="00F21D2A" w:rsidRDefault="00F21D2A" w:rsidP="00F21D2A">
      <w:pPr>
        <w:numPr>
          <w:ilvl w:val="0"/>
          <w:numId w:val="1"/>
        </w:numPr>
        <w:shd w:val="clear" w:color="auto" w:fill="FFFFFF"/>
        <w:spacing w:before="0" w:after="100" w:afterAutospacing="1" w:line="432" w:lineRule="atLeast"/>
        <w:ind w:right="0"/>
        <w:rPr>
          <w:rFonts w:ascii="Verdana" w:hAnsi="Verdana"/>
          <w:color w:val="000000"/>
          <w:sz w:val="17"/>
          <w:szCs w:val="17"/>
          <w:lang w:val="en"/>
        </w:rPr>
      </w:pPr>
      <w:r>
        <w:rPr>
          <w:rStyle w:val="Strong"/>
          <w:rFonts w:ascii="Verdana" w:hAnsi="Verdana"/>
          <w:color w:val="000000"/>
          <w:sz w:val="17"/>
          <w:szCs w:val="17"/>
          <w:lang w:val="en"/>
        </w:rPr>
        <w:t xml:space="preserve">Using images: </w:t>
      </w:r>
      <w:r>
        <w:rPr>
          <w:rFonts w:ascii="Verdana" w:hAnsi="Verdana"/>
          <w:color w:val="000000"/>
          <w:sz w:val="17"/>
          <w:szCs w:val="17"/>
          <w:lang w:val="en"/>
        </w:rPr>
        <w:t>This same process can be used with images instead of quotations. You could give students a collection of posters, paintings and photographs from the time period you are studying and then ask students to select three images that stand out to them. On the back of an index card, students explain why they selected this image and what they think it represents or why it is important.</w:t>
      </w:r>
      <w:r>
        <w:rPr>
          <w:rStyle w:val="Strong"/>
          <w:rFonts w:ascii="Verdana" w:hAnsi="Verdana"/>
          <w:color w:val="000000"/>
          <w:sz w:val="17"/>
          <w:szCs w:val="17"/>
          <w:lang w:val="en"/>
        </w:rPr>
        <w:t xml:space="preserve"> </w:t>
      </w:r>
      <w:r w:rsidRPr="00B83841">
        <w:rPr>
          <w:rStyle w:val="Strong"/>
          <w:rFonts w:ascii="Verdana" w:hAnsi="Verdana"/>
          <w:color w:val="000000"/>
          <w:sz w:val="17"/>
          <w:szCs w:val="17"/>
          <w:lang w:val="en"/>
        </w:rPr>
        <w:t>For the younger students, this could also be</w:t>
      </w:r>
      <w:r>
        <w:rPr>
          <w:rStyle w:val="Strong"/>
          <w:rFonts w:ascii="Verdana" w:hAnsi="Verdana"/>
          <w:color w:val="000000"/>
          <w:sz w:val="17"/>
          <w:szCs w:val="17"/>
          <w:lang w:val="en"/>
        </w:rPr>
        <w:t xml:space="preserve"> </w:t>
      </w:r>
      <w:r w:rsidRPr="00B83841">
        <w:rPr>
          <w:rStyle w:val="Strong"/>
          <w:rFonts w:ascii="Verdana" w:hAnsi="Verdana"/>
          <w:color w:val="000000"/>
          <w:sz w:val="17"/>
          <w:szCs w:val="17"/>
          <w:lang w:val="en"/>
        </w:rPr>
        <w:t>done orally if you wish.</w:t>
      </w:r>
    </w:p>
    <w:p w:rsidR="00F21D2A" w:rsidRPr="001936AC" w:rsidRDefault="00F21D2A" w:rsidP="00F21D2A">
      <w:pPr>
        <w:numPr>
          <w:ilvl w:val="0"/>
          <w:numId w:val="1"/>
        </w:numPr>
        <w:shd w:val="clear" w:color="auto" w:fill="FFFFFF"/>
        <w:spacing w:before="0" w:after="100" w:afterAutospacing="1" w:line="432" w:lineRule="atLeast"/>
        <w:ind w:right="0"/>
        <w:rPr>
          <w:rFonts w:ascii="Verdana" w:hAnsi="Verdana"/>
          <w:color w:val="000000"/>
          <w:sz w:val="17"/>
          <w:szCs w:val="17"/>
          <w:lang w:val="en"/>
        </w:rPr>
      </w:pPr>
      <w:r>
        <w:rPr>
          <w:rStyle w:val="Strong"/>
          <w:rFonts w:ascii="Verdana" w:hAnsi="Verdana"/>
          <w:color w:val="000000"/>
          <w:sz w:val="17"/>
          <w:szCs w:val="17"/>
          <w:lang w:val="en"/>
        </w:rPr>
        <w:t xml:space="preserve">Using questions: </w:t>
      </w:r>
      <w:r>
        <w:rPr>
          <w:rFonts w:ascii="Verdana" w:hAnsi="Verdana"/>
          <w:color w:val="000000"/>
          <w:sz w:val="17"/>
          <w:szCs w:val="17"/>
          <w:lang w:val="en"/>
        </w:rPr>
        <w:t>Ask students to think about three “probing” questions the text raises for them. (A “probing” question is interpretive and evaluative. It can be discussed and has no clearly defined “right” answer, as opposed to clarifying questions which are typically factual in nature.) Students answer the question on the back of their card. In small groups, students select one of their questions for the other two students to discuss.</w:t>
      </w:r>
    </w:p>
    <w:p w:rsidR="000E7BDB" w:rsidRDefault="000E7BDB">
      <w:bookmarkStart w:id="0" w:name="_GoBack"/>
      <w:bookmarkEnd w:id="0"/>
    </w:p>
    <w:sectPr w:rsidR="000E7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B54CA"/>
    <w:multiLevelType w:val="multilevel"/>
    <w:tmpl w:val="2A880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D2A"/>
    <w:rsid w:val="000E7BDB"/>
    <w:rsid w:val="00F21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C2F3F-CF69-4517-B806-782F5920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F21D2A"/>
    <w:pPr>
      <w:spacing w:before="200" w:after="200" w:line="276" w:lineRule="auto"/>
      <w:ind w:left="144" w:right="144"/>
    </w:pPr>
    <w:rPr>
      <w:color w:val="262626" w:themeColor="text1" w:themeTint="D9"/>
    </w:rPr>
  </w:style>
  <w:style w:type="paragraph" w:styleId="Heading1">
    <w:name w:val="heading 1"/>
    <w:basedOn w:val="Normal"/>
    <w:next w:val="Normal"/>
    <w:link w:val="Heading1Char"/>
    <w:unhideWhenUsed/>
    <w:qFormat/>
    <w:rsid w:val="00F21D2A"/>
    <w:pPr>
      <w:keepNext/>
      <w:keepLines/>
      <w:spacing w:before="240"/>
      <w:outlineLvl w:val="0"/>
    </w:pPr>
    <w:rPr>
      <w:rFonts w:asciiTheme="majorHAnsi" w:eastAsiaTheme="majorEastAsia" w:hAnsiTheme="majorHAnsi" w:cstheme="majorBidi"/>
      <w:b/>
      <w:bCs/>
      <w:color w:val="4472C4" w:themeColor="accent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1D2A"/>
    <w:rPr>
      <w:rFonts w:asciiTheme="majorHAnsi" w:eastAsiaTheme="majorEastAsia" w:hAnsiTheme="majorHAnsi" w:cstheme="majorBidi"/>
      <w:b/>
      <w:bCs/>
      <w:color w:val="4472C4" w:themeColor="accent5"/>
      <w:sz w:val="28"/>
      <w:szCs w:val="28"/>
    </w:rPr>
  </w:style>
  <w:style w:type="paragraph" w:customStyle="1" w:styleId="TableSpace">
    <w:name w:val="Table Space"/>
    <w:basedOn w:val="Normal"/>
    <w:next w:val="Normal"/>
    <w:uiPriority w:val="2"/>
    <w:qFormat/>
    <w:rsid w:val="00F21D2A"/>
    <w:pPr>
      <w:spacing w:before="0" w:after="0" w:line="80" w:lineRule="exact"/>
    </w:pPr>
  </w:style>
  <w:style w:type="paragraph" w:customStyle="1" w:styleId="Photo">
    <w:name w:val="Photo"/>
    <w:basedOn w:val="Normal"/>
    <w:uiPriority w:val="2"/>
    <w:qFormat/>
    <w:rsid w:val="00F21D2A"/>
    <w:pPr>
      <w:spacing w:before="0" w:after="360" w:line="240" w:lineRule="auto"/>
      <w:ind w:left="0" w:right="0"/>
      <w:jc w:val="center"/>
    </w:pPr>
  </w:style>
  <w:style w:type="paragraph" w:styleId="NoSpacing">
    <w:name w:val="No Spacing"/>
    <w:uiPriority w:val="9"/>
    <w:qFormat/>
    <w:rsid w:val="00F21D2A"/>
    <w:pPr>
      <w:spacing w:after="0" w:line="240" w:lineRule="auto"/>
      <w:ind w:left="144" w:right="144"/>
    </w:pPr>
    <w:rPr>
      <w:color w:val="0D0D0D" w:themeColor="text1" w:themeTint="F2"/>
    </w:rPr>
  </w:style>
  <w:style w:type="table" w:customStyle="1" w:styleId="NewsletterTable">
    <w:name w:val="Newsletter Table"/>
    <w:basedOn w:val="TableNormal"/>
    <w:uiPriority w:val="99"/>
    <w:rsid w:val="00F21D2A"/>
    <w:pPr>
      <w:spacing w:before="200" w:after="0" w:line="240" w:lineRule="auto"/>
      <w:ind w:left="144" w:right="144"/>
    </w:pPr>
    <w:rPr>
      <w:color w:val="262626" w:themeColor="text1" w:themeTint="D9"/>
    </w:rPr>
    <w:tblPr>
      <w:tblInd w:w="0" w:type="dxa"/>
      <w:tblBorders>
        <w:top w:val="single" w:sz="8" w:space="0" w:color="4472C4" w:themeColor="accent5"/>
        <w:bottom w:val="single" w:sz="8" w:space="0" w:color="4472C4" w:themeColor="accent5"/>
      </w:tblBorders>
      <w:tblCellMar>
        <w:top w:w="0" w:type="dxa"/>
        <w:left w:w="0" w:type="dxa"/>
        <w:bottom w:w="0" w:type="dxa"/>
        <w:right w:w="0" w:type="dxa"/>
      </w:tblCellMar>
    </w:tblPr>
    <w:tcPr>
      <w:shd w:val="clear" w:color="auto" w:fill="F2F2F2" w:themeFill="background1" w:themeFillShade="F2"/>
    </w:tcPr>
    <w:tblStylePr w:type="firstRow">
      <w:tblPr/>
      <w:tcPr>
        <w:shd w:val="clear" w:color="auto" w:fill="FFFFFF" w:themeFill="background1"/>
      </w:tcPr>
    </w:tblStylePr>
    <w:tblStylePr w:type="lastRow">
      <w:tblPr/>
      <w:tcPr>
        <w:shd w:val="clear" w:color="auto" w:fill="FFFFFF" w:themeFill="background1"/>
      </w:tcPr>
    </w:tblStylePr>
  </w:style>
  <w:style w:type="paragraph" w:styleId="NormalWeb">
    <w:name w:val="Normal (Web)"/>
    <w:basedOn w:val="Normal"/>
    <w:uiPriority w:val="99"/>
    <w:semiHidden/>
    <w:unhideWhenUsed/>
    <w:rsid w:val="00F21D2A"/>
    <w:pPr>
      <w:spacing w:before="100" w:beforeAutospacing="1" w:after="360" w:line="240" w:lineRule="auto"/>
      <w:ind w:left="0" w:right="0"/>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F21D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interest.com/pin/532058143447167929/"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Bellwood-Antis School District</Company>
  <LinksUpToDate>false</LinksUpToDate>
  <CharactersWithSpaces>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I. Hubona</dc:creator>
  <cp:keywords/>
  <dc:description/>
  <cp:lastModifiedBy>Diane I. Hubona</cp:lastModifiedBy>
  <cp:revision>1</cp:revision>
  <dcterms:created xsi:type="dcterms:W3CDTF">2013-09-03T18:53:00Z</dcterms:created>
  <dcterms:modified xsi:type="dcterms:W3CDTF">2013-09-03T18:54:00Z</dcterms:modified>
</cp:coreProperties>
</file>